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FD4E" w14:textId="77777777" w:rsidR="003458F7" w:rsidRDefault="002A795E">
      <w:pPr>
        <w:spacing w:after="40"/>
        <w:jc w:val="center"/>
      </w:pPr>
      <w:r>
        <w:rPr>
          <w:rFonts w:ascii="Calibri" w:eastAsia="Calibri" w:hAnsi="Calibri" w:cs="Calibri"/>
          <w:b/>
          <w:bCs/>
          <w:color w:val="0A4C48"/>
          <w:sz w:val="40"/>
          <w:szCs w:val="40"/>
        </w:rPr>
        <w:t>Understanding Menopause</w:t>
      </w:r>
    </w:p>
    <w:p w14:paraId="0C5B890F" w14:textId="77777777" w:rsidR="003458F7" w:rsidRDefault="002A795E">
      <w:pPr>
        <w:spacing w:after="200"/>
        <w:jc w:val="center"/>
      </w:pPr>
      <w:r>
        <w:rPr>
          <w:rFonts w:ascii="Calibri" w:eastAsia="Calibri" w:hAnsi="Calibri" w:cs="Calibri"/>
          <w:i/>
          <w:iCs/>
          <w:color w:val="B5750C"/>
          <w:sz w:val="22"/>
          <w:szCs w:val="22"/>
        </w:rPr>
        <w:t>A guide to perimenopause, menopause and beyond</w:t>
      </w:r>
    </w:p>
    <w:p w14:paraId="2EA5B155"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What Is Menopause?</w:t>
      </w:r>
    </w:p>
    <w:p w14:paraId="2590DC27" w14:textId="77777777" w:rsidR="003458F7" w:rsidRDefault="002A795E">
      <w:pPr>
        <w:spacing w:after="80"/>
      </w:pPr>
      <w:r>
        <w:rPr>
          <w:rFonts w:ascii="Calibri" w:eastAsia="Calibri" w:hAnsi="Calibri" w:cs="Calibri"/>
          <w:color w:val="222222"/>
        </w:rPr>
        <w:t>Menopause is a natural stage of life when your periods stop permanently, usually happening between the ages of 45 and 55 (average age in Ireland is around 51). It is confirmed once you have gone 12 months without a period.</w:t>
      </w:r>
    </w:p>
    <w:p w14:paraId="415A8894" w14:textId="77777777" w:rsidR="003458F7" w:rsidRDefault="002A795E">
      <w:pPr>
        <w:spacing w:before="140" w:after="60"/>
      </w:pPr>
      <w:r>
        <w:rPr>
          <w:rFonts w:ascii="Calibri" w:eastAsia="Calibri" w:hAnsi="Calibri" w:cs="Calibri"/>
          <w:b/>
          <w:bCs/>
          <w:color w:val="B5750C"/>
          <w:sz w:val="21"/>
          <w:szCs w:val="21"/>
        </w:rPr>
        <w:t>Perimenopause</w:t>
      </w:r>
    </w:p>
    <w:p w14:paraId="49366963" w14:textId="77777777" w:rsidR="003458F7" w:rsidRDefault="002A795E">
      <w:pPr>
        <w:spacing w:after="80"/>
      </w:pPr>
      <w:r>
        <w:rPr>
          <w:rFonts w:ascii="Calibri" w:eastAsia="Calibri" w:hAnsi="Calibri" w:cs="Calibri"/>
          <w:color w:val="222222"/>
        </w:rPr>
        <w:t>The transition leading up to menopause, when hormone levels fluctuate and periods become irregular. Can last several years and is often when symptoms are most noticeable.</w:t>
      </w:r>
    </w:p>
    <w:p w14:paraId="4775C9B7" w14:textId="77777777" w:rsidR="003458F7" w:rsidRDefault="002A795E">
      <w:pPr>
        <w:spacing w:before="140" w:after="60"/>
      </w:pPr>
      <w:r>
        <w:rPr>
          <w:rFonts w:ascii="Calibri" w:eastAsia="Calibri" w:hAnsi="Calibri" w:cs="Calibri"/>
          <w:b/>
          <w:bCs/>
          <w:color w:val="B5750C"/>
          <w:sz w:val="21"/>
          <w:szCs w:val="21"/>
        </w:rPr>
        <w:t>Menopause</w:t>
      </w:r>
    </w:p>
    <w:p w14:paraId="0CC847A7" w14:textId="77777777" w:rsidR="003458F7" w:rsidRDefault="002A795E">
      <w:pPr>
        <w:spacing w:after="80"/>
      </w:pPr>
      <w:r>
        <w:rPr>
          <w:rFonts w:ascii="Calibri" w:eastAsia="Calibri" w:hAnsi="Calibri" w:cs="Calibri"/>
          <w:color w:val="222222"/>
        </w:rPr>
        <w:t>The point in time 12 months after your last period.</w:t>
      </w:r>
    </w:p>
    <w:p w14:paraId="7A7180CB" w14:textId="637AAF0D" w:rsidR="003458F7" w:rsidRDefault="000F3B54">
      <w:pPr>
        <w:spacing w:before="140" w:after="60"/>
      </w:pPr>
      <w:r>
        <w:rPr>
          <w:rFonts w:ascii="Calibri" w:eastAsia="Calibri" w:hAnsi="Calibri" w:cs="Calibri"/>
          <w:b/>
          <w:bCs/>
          <w:color w:val="B5750C"/>
          <w:sz w:val="21"/>
          <w:szCs w:val="21"/>
        </w:rPr>
        <w:t>Post menopause</w:t>
      </w:r>
    </w:p>
    <w:p w14:paraId="6F66F59D" w14:textId="77777777" w:rsidR="003458F7" w:rsidRDefault="002A795E">
      <w:pPr>
        <w:spacing w:after="80"/>
      </w:pPr>
      <w:r>
        <w:rPr>
          <w:rFonts w:ascii="Calibri" w:eastAsia="Calibri" w:hAnsi="Calibri" w:cs="Calibri"/>
          <w:color w:val="222222"/>
        </w:rPr>
        <w:t>The years following menopause. Oestrogen remains low, and long-term health considerations such as bone and heart health become more important.</w:t>
      </w:r>
    </w:p>
    <w:p w14:paraId="5BE96A44"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Early Symptoms to Look Out For</w:t>
      </w:r>
    </w:p>
    <w:p w14:paraId="249E91A4" w14:textId="77777777" w:rsidR="003458F7" w:rsidRDefault="002A795E">
      <w:pPr>
        <w:pStyle w:val="ListParagraph"/>
        <w:numPr>
          <w:ilvl w:val="0"/>
          <w:numId w:val="2"/>
        </w:numPr>
        <w:spacing w:after="40"/>
      </w:pPr>
      <w:r>
        <w:rPr>
          <w:rFonts w:ascii="Calibri" w:eastAsia="Calibri" w:hAnsi="Calibri" w:cs="Calibri"/>
          <w:color w:val="222222"/>
        </w:rPr>
        <w:t>Irregular or changing periods (heavier, lighter, closer together or further apart)</w:t>
      </w:r>
    </w:p>
    <w:p w14:paraId="7245F95F" w14:textId="77777777" w:rsidR="003458F7" w:rsidRDefault="002A795E">
      <w:pPr>
        <w:pStyle w:val="ListParagraph"/>
        <w:numPr>
          <w:ilvl w:val="0"/>
          <w:numId w:val="2"/>
        </w:numPr>
        <w:spacing w:after="40"/>
      </w:pPr>
      <w:r>
        <w:rPr>
          <w:rFonts w:ascii="Calibri" w:eastAsia="Calibri" w:hAnsi="Calibri" w:cs="Calibri"/>
          <w:color w:val="222222"/>
        </w:rPr>
        <w:t>Hot flushes and night sweats</w:t>
      </w:r>
    </w:p>
    <w:p w14:paraId="017CA594" w14:textId="77777777" w:rsidR="003458F7" w:rsidRDefault="002A795E">
      <w:pPr>
        <w:pStyle w:val="ListParagraph"/>
        <w:numPr>
          <w:ilvl w:val="0"/>
          <w:numId w:val="2"/>
        </w:numPr>
        <w:spacing w:after="40"/>
      </w:pPr>
      <w:r>
        <w:rPr>
          <w:rFonts w:ascii="Calibri" w:eastAsia="Calibri" w:hAnsi="Calibri" w:cs="Calibri"/>
          <w:color w:val="222222"/>
        </w:rPr>
        <w:t>Sleep disturbance and fatigue</w:t>
      </w:r>
    </w:p>
    <w:p w14:paraId="25E8E02E" w14:textId="77777777" w:rsidR="003458F7" w:rsidRDefault="002A795E">
      <w:pPr>
        <w:pStyle w:val="ListParagraph"/>
        <w:numPr>
          <w:ilvl w:val="0"/>
          <w:numId w:val="2"/>
        </w:numPr>
        <w:spacing w:after="40"/>
      </w:pPr>
      <w:r>
        <w:rPr>
          <w:rFonts w:ascii="Calibri" w:eastAsia="Calibri" w:hAnsi="Calibri" w:cs="Calibri"/>
          <w:color w:val="222222"/>
        </w:rPr>
        <w:t>Mood changes — low mood, anxiety, irritability</w:t>
      </w:r>
    </w:p>
    <w:p w14:paraId="71ED0E24" w14:textId="77777777" w:rsidR="003458F7" w:rsidRDefault="002A795E">
      <w:pPr>
        <w:pStyle w:val="ListParagraph"/>
        <w:numPr>
          <w:ilvl w:val="0"/>
          <w:numId w:val="2"/>
        </w:numPr>
        <w:spacing w:after="40"/>
      </w:pPr>
      <w:r>
        <w:rPr>
          <w:rFonts w:ascii="Calibri" w:eastAsia="Calibri" w:hAnsi="Calibri" w:cs="Calibri"/>
          <w:color w:val="222222"/>
        </w:rPr>
        <w:t>Brain fog or difficulty concentrating</w:t>
      </w:r>
    </w:p>
    <w:p w14:paraId="2E4460B8" w14:textId="77777777" w:rsidR="003458F7" w:rsidRDefault="002A795E">
      <w:pPr>
        <w:pStyle w:val="ListParagraph"/>
        <w:numPr>
          <w:ilvl w:val="0"/>
          <w:numId w:val="2"/>
        </w:numPr>
        <w:spacing w:after="40"/>
      </w:pPr>
      <w:r>
        <w:rPr>
          <w:rFonts w:ascii="Calibri" w:eastAsia="Calibri" w:hAnsi="Calibri" w:cs="Calibri"/>
          <w:color w:val="222222"/>
        </w:rPr>
        <w:t>Vaginal dryness or discomfort during sex</w:t>
      </w:r>
    </w:p>
    <w:p w14:paraId="103F48CA" w14:textId="77777777" w:rsidR="003458F7" w:rsidRDefault="002A795E">
      <w:pPr>
        <w:pStyle w:val="ListParagraph"/>
        <w:numPr>
          <w:ilvl w:val="0"/>
          <w:numId w:val="2"/>
        </w:numPr>
        <w:spacing w:after="40"/>
      </w:pPr>
      <w:r>
        <w:rPr>
          <w:rFonts w:ascii="Calibri" w:eastAsia="Calibri" w:hAnsi="Calibri" w:cs="Calibri"/>
          <w:color w:val="222222"/>
        </w:rPr>
        <w:t>Reduced libido</w:t>
      </w:r>
    </w:p>
    <w:p w14:paraId="66D82DF8" w14:textId="77777777" w:rsidR="003458F7" w:rsidRDefault="002A795E">
      <w:pPr>
        <w:pStyle w:val="ListParagraph"/>
        <w:numPr>
          <w:ilvl w:val="0"/>
          <w:numId w:val="2"/>
        </w:numPr>
        <w:spacing w:after="40"/>
      </w:pPr>
      <w:r>
        <w:rPr>
          <w:rFonts w:ascii="Calibri" w:eastAsia="Calibri" w:hAnsi="Calibri" w:cs="Calibri"/>
          <w:color w:val="222222"/>
        </w:rPr>
        <w:t>Joint aches, headaches, or palpitations</w:t>
      </w:r>
    </w:p>
    <w:p w14:paraId="0E6872F7"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Menopause Before Age 40 (Premature Ovarian Insufficiency)</w:t>
      </w:r>
    </w:p>
    <w:p w14:paraId="580F2879" w14:textId="77777777" w:rsidR="003458F7" w:rsidRDefault="002A795E">
      <w:pPr>
        <w:spacing w:after="80"/>
      </w:pPr>
      <w:r>
        <w:rPr>
          <w:rFonts w:ascii="Calibri" w:eastAsia="Calibri" w:hAnsi="Calibri" w:cs="Calibri"/>
          <w:color w:val="222222"/>
        </w:rPr>
        <w:t>If your periods stop or become very irregular before age 40, this needs assessment — it is not "early" menopause but Premature Ovarian Insufficiency (POI) and requires blood tests (FSH) and specialist input.</w:t>
      </w:r>
    </w:p>
    <w:p w14:paraId="58909361" w14:textId="77777777" w:rsidR="003458F7" w:rsidRDefault="002A795E">
      <w:pPr>
        <w:pStyle w:val="ListParagraph"/>
        <w:numPr>
          <w:ilvl w:val="0"/>
          <w:numId w:val="2"/>
        </w:numPr>
        <w:spacing w:after="40"/>
      </w:pPr>
      <w:r>
        <w:rPr>
          <w:rFonts w:ascii="Calibri" w:eastAsia="Calibri" w:hAnsi="Calibri" w:cs="Calibri"/>
          <w:color w:val="222222"/>
        </w:rPr>
        <w:t>Book a GP appointment — do not wait for symptoms to settle</w:t>
      </w:r>
    </w:p>
    <w:p w14:paraId="3D72DFE2" w14:textId="77777777" w:rsidR="003458F7" w:rsidRDefault="002A795E">
      <w:pPr>
        <w:pStyle w:val="ListParagraph"/>
        <w:numPr>
          <w:ilvl w:val="0"/>
          <w:numId w:val="2"/>
        </w:numPr>
        <w:spacing w:after="40"/>
      </w:pPr>
      <w:r>
        <w:rPr>
          <w:rFonts w:ascii="Calibri" w:eastAsia="Calibri" w:hAnsi="Calibri" w:cs="Calibri"/>
          <w:color w:val="222222"/>
        </w:rPr>
        <w:t>HRT (or the combined pill) is usually recommended up to at least the average age of natural menopause, to protect bone and heart health</w:t>
      </w:r>
    </w:p>
    <w:p w14:paraId="7B03AD4D" w14:textId="77777777" w:rsidR="003458F7" w:rsidRDefault="002A795E">
      <w:pPr>
        <w:pStyle w:val="ListParagraph"/>
        <w:numPr>
          <w:ilvl w:val="0"/>
          <w:numId w:val="2"/>
        </w:numPr>
        <w:spacing w:after="40"/>
      </w:pPr>
      <w:r>
        <w:rPr>
          <w:rFonts w:ascii="Calibri" w:eastAsia="Calibri" w:hAnsi="Calibri" w:cs="Calibri"/>
          <w:color w:val="222222"/>
        </w:rPr>
        <w:t>Fertility implications should be discussed if relevant to you</w:t>
      </w:r>
    </w:p>
    <w:p w14:paraId="571C58C2"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Early Menopause (Ages 40–44)</w:t>
      </w:r>
    </w:p>
    <w:p w14:paraId="7585F8FE" w14:textId="77777777" w:rsidR="003458F7" w:rsidRDefault="002A795E">
      <w:pPr>
        <w:spacing w:after="80"/>
      </w:pPr>
      <w:r>
        <w:rPr>
          <w:rFonts w:ascii="Calibri" w:eastAsia="Calibri" w:hAnsi="Calibri" w:cs="Calibri"/>
          <w:color w:val="222222"/>
        </w:rPr>
        <w:t>Menopause between 40 and 44 is classed as "early menopause." It is more common than POI but still benefits from GP review.</w:t>
      </w:r>
    </w:p>
    <w:p w14:paraId="2FAE2568" w14:textId="77777777" w:rsidR="003458F7" w:rsidRDefault="002A795E">
      <w:pPr>
        <w:pStyle w:val="ListParagraph"/>
        <w:numPr>
          <w:ilvl w:val="0"/>
          <w:numId w:val="2"/>
        </w:numPr>
        <w:spacing w:after="40"/>
      </w:pPr>
      <w:r>
        <w:rPr>
          <w:rFonts w:ascii="Calibri" w:eastAsia="Calibri" w:hAnsi="Calibri" w:cs="Calibri"/>
          <w:color w:val="222222"/>
        </w:rPr>
        <w:t>Discuss symptoms and blood tests with your GP if needed</w:t>
      </w:r>
    </w:p>
    <w:p w14:paraId="46DDC772" w14:textId="77777777" w:rsidR="003458F7" w:rsidRDefault="002A795E">
      <w:pPr>
        <w:pStyle w:val="ListParagraph"/>
        <w:numPr>
          <w:ilvl w:val="0"/>
          <w:numId w:val="2"/>
        </w:numPr>
        <w:spacing w:after="40"/>
      </w:pPr>
      <w:r>
        <w:rPr>
          <w:rFonts w:ascii="Calibri" w:eastAsia="Calibri" w:hAnsi="Calibri" w:cs="Calibri"/>
          <w:color w:val="222222"/>
        </w:rPr>
        <w:t>HRT is generally recommended until at least age 51 for bone and cardiovascular protection</w:t>
      </w:r>
    </w:p>
    <w:p w14:paraId="453930E3" w14:textId="77777777" w:rsidR="003458F7" w:rsidRDefault="002A795E">
      <w:pPr>
        <w:pStyle w:val="ListParagraph"/>
        <w:numPr>
          <w:ilvl w:val="0"/>
          <w:numId w:val="2"/>
        </w:numPr>
        <w:spacing w:after="40"/>
      </w:pPr>
      <w:r>
        <w:rPr>
          <w:rFonts w:ascii="Calibri" w:eastAsia="Calibri" w:hAnsi="Calibri" w:cs="Calibri"/>
          <w:color w:val="222222"/>
        </w:rPr>
        <w:t>Lifestyle measures (below) are especially important at this age</w:t>
      </w:r>
    </w:p>
    <w:p w14:paraId="3E155174"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When to See Your GP</w:t>
      </w:r>
    </w:p>
    <w:p w14:paraId="52E29293" w14:textId="77777777" w:rsidR="003458F7" w:rsidRDefault="002A795E">
      <w:pPr>
        <w:spacing w:after="80"/>
      </w:pPr>
      <w:r>
        <w:rPr>
          <w:rFonts w:ascii="Calibri" w:eastAsia="Calibri" w:hAnsi="Calibri" w:cs="Calibri"/>
          <w:color w:val="222222"/>
        </w:rPr>
        <w:t>You do not need to "put up with" symptoms. Book a GP or practice nurse appointment if you have:</w:t>
      </w:r>
    </w:p>
    <w:p w14:paraId="591DFD86" w14:textId="77777777" w:rsidR="003458F7" w:rsidRDefault="002A795E">
      <w:pPr>
        <w:pStyle w:val="ListParagraph"/>
        <w:numPr>
          <w:ilvl w:val="0"/>
          <w:numId w:val="2"/>
        </w:numPr>
        <w:spacing w:after="40"/>
      </w:pPr>
      <w:r>
        <w:rPr>
          <w:rFonts w:ascii="Calibri" w:eastAsia="Calibri" w:hAnsi="Calibri" w:cs="Calibri"/>
          <w:color w:val="222222"/>
        </w:rPr>
        <w:t>Periods stopping before age 45, or irregular bleeding you're unsure about</w:t>
      </w:r>
    </w:p>
    <w:p w14:paraId="6E93DBA3" w14:textId="77777777" w:rsidR="003458F7" w:rsidRDefault="002A795E">
      <w:pPr>
        <w:pStyle w:val="ListParagraph"/>
        <w:numPr>
          <w:ilvl w:val="0"/>
          <w:numId w:val="2"/>
        </w:numPr>
        <w:spacing w:after="40"/>
      </w:pPr>
      <w:r>
        <w:rPr>
          <w:rFonts w:ascii="Calibri" w:eastAsia="Calibri" w:hAnsi="Calibri" w:cs="Calibri"/>
          <w:color w:val="222222"/>
        </w:rPr>
        <w:t>Symptoms affecting your daily life, sleep, mood or relationships</w:t>
      </w:r>
    </w:p>
    <w:p w14:paraId="395DF3E0" w14:textId="77777777" w:rsidR="003458F7" w:rsidRDefault="002A795E">
      <w:pPr>
        <w:pStyle w:val="ListParagraph"/>
        <w:numPr>
          <w:ilvl w:val="0"/>
          <w:numId w:val="2"/>
        </w:numPr>
        <w:spacing w:after="40"/>
      </w:pPr>
      <w:r>
        <w:rPr>
          <w:rFonts w:ascii="Calibri" w:eastAsia="Calibri" w:hAnsi="Calibri" w:cs="Calibri"/>
          <w:color w:val="222222"/>
        </w:rPr>
        <w:t>Heavy, prolonged, or post-coital bleeding, or any bleeding after 12 months without a period (needs urgent review)</w:t>
      </w:r>
    </w:p>
    <w:p w14:paraId="6461B55C" w14:textId="77777777" w:rsidR="003458F7" w:rsidRDefault="002A795E">
      <w:pPr>
        <w:pStyle w:val="ListParagraph"/>
        <w:numPr>
          <w:ilvl w:val="0"/>
          <w:numId w:val="2"/>
        </w:numPr>
        <w:spacing w:after="40"/>
      </w:pPr>
      <w:r>
        <w:rPr>
          <w:rFonts w:ascii="Calibri" w:eastAsia="Calibri" w:hAnsi="Calibri" w:cs="Calibri"/>
          <w:color w:val="222222"/>
        </w:rPr>
        <w:t>Questions about whether HRT is suitable for you</w:t>
      </w:r>
    </w:p>
    <w:p w14:paraId="13777439" w14:textId="77777777" w:rsidR="003458F7" w:rsidRDefault="002A795E">
      <w:pPr>
        <w:pStyle w:val="ListParagraph"/>
        <w:numPr>
          <w:ilvl w:val="0"/>
          <w:numId w:val="2"/>
        </w:numPr>
        <w:spacing w:after="40"/>
      </w:pPr>
      <w:r>
        <w:rPr>
          <w:rFonts w:ascii="Calibri" w:eastAsia="Calibri" w:hAnsi="Calibri" w:cs="Calibri"/>
          <w:color w:val="222222"/>
        </w:rPr>
        <w:t>Vaginal dryness or discomfort not improving with over-the-counter products</w:t>
      </w:r>
    </w:p>
    <w:p w14:paraId="68B27477"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Symptom Checklist — Bring This to Your Appointment</w:t>
      </w:r>
    </w:p>
    <w:p w14:paraId="212AD731" w14:textId="77777777" w:rsidR="003458F7" w:rsidRDefault="002A795E">
      <w:pPr>
        <w:spacing w:after="80"/>
      </w:pPr>
      <w:r>
        <w:rPr>
          <w:rFonts w:ascii="Calibri" w:eastAsia="Calibri" w:hAnsi="Calibri" w:cs="Calibri"/>
          <w:color w:val="222222"/>
        </w:rPr>
        <w:lastRenderedPageBreak/>
        <w:t>Tick any that apply to you over the last few months. This helps guide your discussion with your GP or practice nurse.</w:t>
      </w:r>
    </w:p>
    <w:p w14:paraId="038E441A"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Hot</w:t>
      </w:r>
      <w:proofErr w:type="gramEnd"/>
      <w:r>
        <w:rPr>
          <w:rFonts w:ascii="Calibri" w:eastAsia="Calibri" w:hAnsi="Calibri" w:cs="Calibri"/>
          <w:color w:val="222222"/>
        </w:rPr>
        <w:t xml:space="preserve"> flushes / night sweats</w:t>
      </w:r>
    </w:p>
    <w:p w14:paraId="03D74FFF"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Irregular</w:t>
      </w:r>
      <w:proofErr w:type="gramEnd"/>
      <w:r>
        <w:rPr>
          <w:rFonts w:ascii="Calibri" w:eastAsia="Calibri" w:hAnsi="Calibri" w:cs="Calibri"/>
          <w:color w:val="222222"/>
        </w:rPr>
        <w:t>, heavier or lighter periods</w:t>
      </w:r>
    </w:p>
    <w:p w14:paraId="7624A61A"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Difficulty</w:t>
      </w:r>
      <w:proofErr w:type="gramEnd"/>
      <w:r>
        <w:rPr>
          <w:rFonts w:ascii="Calibri" w:eastAsia="Calibri" w:hAnsi="Calibri" w:cs="Calibri"/>
          <w:color w:val="222222"/>
        </w:rPr>
        <w:t xml:space="preserve"> sleeping</w:t>
      </w:r>
    </w:p>
    <w:p w14:paraId="770523AF"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Low</w:t>
      </w:r>
      <w:proofErr w:type="gramEnd"/>
      <w:r>
        <w:rPr>
          <w:rFonts w:ascii="Calibri" w:eastAsia="Calibri" w:hAnsi="Calibri" w:cs="Calibri"/>
          <w:color w:val="222222"/>
        </w:rPr>
        <w:t xml:space="preserve"> mood, anxiety or irritability</w:t>
      </w:r>
    </w:p>
    <w:p w14:paraId="1B36F4AD"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Brain</w:t>
      </w:r>
      <w:proofErr w:type="gramEnd"/>
      <w:r>
        <w:rPr>
          <w:rFonts w:ascii="Calibri" w:eastAsia="Calibri" w:hAnsi="Calibri" w:cs="Calibri"/>
          <w:color w:val="222222"/>
        </w:rPr>
        <w:t xml:space="preserve"> fog / poor concentration or memory</w:t>
      </w:r>
    </w:p>
    <w:p w14:paraId="26554D51"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Fatigue</w:t>
      </w:r>
      <w:proofErr w:type="gramEnd"/>
      <w:r>
        <w:rPr>
          <w:rFonts w:ascii="Calibri" w:eastAsia="Calibri" w:hAnsi="Calibri" w:cs="Calibri"/>
          <w:color w:val="222222"/>
        </w:rPr>
        <w:t xml:space="preserve"> / low energy</w:t>
      </w:r>
    </w:p>
    <w:p w14:paraId="3183E64E"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Joint</w:t>
      </w:r>
      <w:proofErr w:type="gramEnd"/>
      <w:r>
        <w:rPr>
          <w:rFonts w:ascii="Calibri" w:eastAsia="Calibri" w:hAnsi="Calibri" w:cs="Calibri"/>
          <w:color w:val="222222"/>
        </w:rPr>
        <w:t xml:space="preserve"> or muscle aches</w:t>
      </w:r>
    </w:p>
    <w:p w14:paraId="2C271BEC"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Vaginal</w:t>
      </w:r>
      <w:proofErr w:type="gramEnd"/>
      <w:r>
        <w:rPr>
          <w:rFonts w:ascii="Calibri" w:eastAsia="Calibri" w:hAnsi="Calibri" w:cs="Calibri"/>
          <w:color w:val="222222"/>
        </w:rPr>
        <w:t xml:space="preserve"> dryness, itching or discomfort</w:t>
      </w:r>
    </w:p>
    <w:p w14:paraId="7367018D"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Pain</w:t>
      </w:r>
      <w:proofErr w:type="gramEnd"/>
      <w:r>
        <w:rPr>
          <w:rFonts w:ascii="Calibri" w:eastAsia="Calibri" w:hAnsi="Calibri" w:cs="Calibri"/>
          <w:color w:val="222222"/>
        </w:rPr>
        <w:t xml:space="preserve"> or discomfort during sex</w:t>
      </w:r>
    </w:p>
    <w:p w14:paraId="51B36FBD"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Reduced</w:t>
      </w:r>
      <w:proofErr w:type="gramEnd"/>
      <w:r>
        <w:rPr>
          <w:rFonts w:ascii="Calibri" w:eastAsia="Calibri" w:hAnsi="Calibri" w:cs="Calibri"/>
          <w:color w:val="222222"/>
        </w:rPr>
        <w:t xml:space="preserve"> sex drive</w:t>
      </w:r>
    </w:p>
    <w:p w14:paraId="6BD286B1"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Recurrent</w:t>
      </w:r>
      <w:proofErr w:type="gramEnd"/>
      <w:r>
        <w:rPr>
          <w:rFonts w:ascii="Calibri" w:eastAsia="Calibri" w:hAnsi="Calibri" w:cs="Calibri"/>
          <w:color w:val="222222"/>
        </w:rPr>
        <w:t xml:space="preserve"> urinary symptoms (urgency, UTIs)</w:t>
      </w:r>
    </w:p>
    <w:p w14:paraId="068616C3"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Headaches</w:t>
      </w:r>
      <w:proofErr w:type="gramEnd"/>
      <w:r>
        <w:rPr>
          <w:rFonts w:ascii="Calibri" w:eastAsia="Calibri" w:hAnsi="Calibri" w:cs="Calibri"/>
          <w:color w:val="222222"/>
        </w:rPr>
        <w:t xml:space="preserve"> or palpitations</w:t>
      </w:r>
    </w:p>
    <w:p w14:paraId="6123DE07" w14:textId="77777777" w:rsidR="003458F7" w:rsidRDefault="002A795E">
      <w:pPr>
        <w:spacing w:after="40"/>
      </w:pPr>
      <w:proofErr w:type="gramStart"/>
      <w:r>
        <w:rPr>
          <w:rFonts w:ascii="Calibri" w:eastAsia="Calibri" w:hAnsi="Calibri" w:cs="Calibri"/>
          <w:color w:val="B5750C"/>
        </w:rPr>
        <w:t>☐</w:t>
      </w:r>
      <w:r>
        <w:rPr>
          <w:rFonts w:ascii="Calibri" w:eastAsia="Calibri" w:hAnsi="Calibri" w:cs="Calibri"/>
          <w:color w:val="B5750C"/>
        </w:rPr>
        <w:t xml:space="preserve">  </w:t>
      </w:r>
      <w:r>
        <w:rPr>
          <w:rFonts w:ascii="Calibri" w:eastAsia="Calibri" w:hAnsi="Calibri" w:cs="Calibri"/>
          <w:color w:val="222222"/>
        </w:rPr>
        <w:t>Weight</w:t>
      </w:r>
      <w:proofErr w:type="gramEnd"/>
      <w:r>
        <w:rPr>
          <w:rFonts w:ascii="Calibri" w:eastAsia="Calibri" w:hAnsi="Calibri" w:cs="Calibri"/>
          <w:color w:val="222222"/>
        </w:rPr>
        <w:t xml:space="preserve"> changes or changes in body shape</w:t>
      </w:r>
    </w:p>
    <w:p w14:paraId="38098C4F"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HRT — Types Available</w:t>
      </w:r>
    </w:p>
    <w:p w14:paraId="61587D67" w14:textId="77777777" w:rsidR="003458F7" w:rsidRDefault="002A795E">
      <w:pPr>
        <w:spacing w:after="80"/>
      </w:pPr>
      <w:r>
        <w:rPr>
          <w:rFonts w:ascii="Calibri" w:eastAsia="Calibri" w:hAnsi="Calibri" w:cs="Calibri"/>
          <w:color w:val="222222"/>
        </w:rPr>
        <w:t>Hormone Replacement Therapy (HRT) replaces the hormones your ovaries are producing less of. It is the most effective treatment for menopause symptoms and can be taken as:</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900"/>
      </w:tblGrid>
      <w:tr w:rsidR="003458F7" w14:paraId="1E3A8157" w14:textId="77777777">
        <w:tblPrEx>
          <w:tblCellMar>
            <w:top w:w="0" w:type="dxa"/>
            <w:bottom w:w="0" w:type="dxa"/>
          </w:tblCellMar>
        </w:tblPrEx>
        <w:trPr>
          <w:tblHeader/>
        </w:trPr>
        <w:tc>
          <w:tcPr>
            <w:tcW w:w="2600" w:type="dxa"/>
            <w:shd w:val="clear" w:color="auto" w:fill="0F6B66"/>
            <w:tcMar>
              <w:top w:w="80" w:type="dxa"/>
              <w:left w:w="100" w:type="dxa"/>
              <w:bottom w:w="80" w:type="dxa"/>
              <w:right w:w="100" w:type="dxa"/>
            </w:tcMar>
            <w:vAlign w:val="center"/>
          </w:tcPr>
          <w:p w14:paraId="1ACFB5EE" w14:textId="77777777" w:rsidR="003458F7" w:rsidRDefault="002A795E">
            <w:r>
              <w:rPr>
                <w:rFonts w:ascii="Calibri" w:eastAsia="Calibri" w:hAnsi="Calibri" w:cs="Calibri"/>
                <w:b/>
                <w:bCs/>
                <w:color w:val="FFFFFF"/>
                <w:sz w:val="18"/>
                <w:szCs w:val="18"/>
              </w:rPr>
              <w:t>Type</w:t>
            </w:r>
          </w:p>
        </w:tc>
        <w:tc>
          <w:tcPr>
            <w:tcW w:w="7900" w:type="dxa"/>
            <w:shd w:val="clear" w:color="auto" w:fill="0F6B66"/>
            <w:tcMar>
              <w:top w:w="80" w:type="dxa"/>
              <w:left w:w="100" w:type="dxa"/>
              <w:bottom w:w="80" w:type="dxa"/>
              <w:right w:w="100" w:type="dxa"/>
            </w:tcMar>
            <w:vAlign w:val="center"/>
          </w:tcPr>
          <w:p w14:paraId="2D833950" w14:textId="77777777" w:rsidR="003458F7" w:rsidRDefault="002A795E">
            <w:r>
              <w:rPr>
                <w:rFonts w:ascii="Calibri" w:eastAsia="Calibri" w:hAnsi="Calibri" w:cs="Calibri"/>
                <w:b/>
                <w:bCs/>
                <w:color w:val="FFFFFF"/>
                <w:sz w:val="18"/>
                <w:szCs w:val="18"/>
              </w:rPr>
              <w:t>What it involves</w:t>
            </w:r>
          </w:p>
        </w:tc>
      </w:tr>
      <w:tr w:rsidR="003458F7" w14:paraId="7CFB4285" w14:textId="77777777">
        <w:tblPrEx>
          <w:tblCellMar>
            <w:top w:w="0" w:type="dxa"/>
            <w:bottom w:w="0" w:type="dxa"/>
          </w:tblCellMar>
        </w:tblPrEx>
        <w:tc>
          <w:tcPr>
            <w:tcW w:w="2600" w:type="dxa"/>
            <w:shd w:val="clear" w:color="auto" w:fill="E6F2F1"/>
            <w:tcMar>
              <w:top w:w="80" w:type="dxa"/>
              <w:left w:w="100" w:type="dxa"/>
              <w:bottom w:w="80" w:type="dxa"/>
              <w:right w:w="100" w:type="dxa"/>
            </w:tcMar>
            <w:vAlign w:val="center"/>
          </w:tcPr>
          <w:p w14:paraId="4580A0D3" w14:textId="77777777" w:rsidR="003458F7" w:rsidRDefault="002A795E">
            <w:r>
              <w:rPr>
                <w:rFonts w:ascii="Calibri" w:eastAsia="Calibri" w:hAnsi="Calibri" w:cs="Calibri"/>
                <w:b/>
                <w:bCs/>
                <w:color w:val="222222"/>
                <w:sz w:val="18"/>
                <w:szCs w:val="18"/>
              </w:rPr>
              <w:t>Oestrogen</w:t>
            </w:r>
          </w:p>
        </w:tc>
        <w:tc>
          <w:tcPr>
            <w:tcW w:w="7900" w:type="dxa"/>
            <w:tcMar>
              <w:top w:w="80" w:type="dxa"/>
              <w:left w:w="100" w:type="dxa"/>
              <w:bottom w:w="80" w:type="dxa"/>
              <w:right w:w="100" w:type="dxa"/>
            </w:tcMar>
            <w:vAlign w:val="center"/>
          </w:tcPr>
          <w:p w14:paraId="72A69DA9" w14:textId="77777777" w:rsidR="003458F7" w:rsidRDefault="002A795E">
            <w:r>
              <w:rPr>
                <w:rFonts w:ascii="Calibri" w:eastAsia="Calibri" w:hAnsi="Calibri" w:cs="Calibri"/>
                <w:color w:val="222222"/>
                <w:sz w:val="18"/>
                <w:szCs w:val="18"/>
              </w:rPr>
              <w:t>Patches, gels, sprays (through the skin) or tablets. Patches/gels/sprays are usually preferred as they carry a lower clot risk than tablets.</w:t>
            </w:r>
          </w:p>
        </w:tc>
      </w:tr>
      <w:tr w:rsidR="003458F7" w14:paraId="1814D5CA" w14:textId="77777777">
        <w:tblPrEx>
          <w:tblCellMar>
            <w:top w:w="0" w:type="dxa"/>
            <w:bottom w:w="0" w:type="dxa"/>
          </w:tblCellMar>
        </w:tblPrEx>
        <w:tc>
          <w:tcPr>
            <w:tcW w:w="2600" w:type="dxa"/>
            <w:shd w:val="clear" w:color="auto" w:fill="E6F2F1"/>
            <w:tcMar>
              <w:top w:w="80" w:type="dxa"/>
              <w:left w:w="100" w:type="dxa"/>
              <w:bottom w:w="80" w:type="dxa"/>
              <w:right w:w="100" w:type="dxa"/>
            </w:tcMar>
            <w:vAlign w:val="center"/>
          </w:tcPr>
          <w:p w14:paraId="4E33D855" w14:textId="77777777" w:rsidR="003458F7" w:rsidRDefault="002A795E">
            <w:r>
              <w:rPr>
                <w:rFonts w:ascii="Calibri" w:eastAsia="Calibri" w:hAnsi="Calibri" w:cs="Calibri"/>
                <w:b/>
                <w:bCs/>
                <w:color w:val="222222"/>
                <w:sz w:val="18"/>
                <w:szCs w:val="18"/>
              </w:rPr>
              <w:t>Progesterone / progestogen</w:t>
            </w:r>
          </w:p>
        </w:tc>
        <w:tc>
          <w:tcPr>
            <w:tcW w:w="7900" w:type="dxa"/>
            <w:tcMar>
              <w:top w:w="80" w:type="dxa"/>
              <w:left w:w="100" w:type="dxa"/>
              <w:bottom w:w="80" w:type="dxa"/>
              <w:right w:w="100" w:type="dxa"/>
            </w:tcMar>
            <w:vAlign w:val="center"/>
          </w:tcPr>
          <w:p w14:paraId="35FF2400" w14:textId="77777777" w:rsidR="003458F7" w:rsidRDefault="002A795E">
            <w:r>
              <w:rPr>
                <w:rFonts w:ascii="Calibri" w:eastAsia="Calibri" w:hAnsi="Calibri" w:cs="Calibri"/>
                <w:color w:val="222222"/>
                <w:sz w:val="18"/>
                <w:szCs w:val="18"/>
              </w:rPr>
              <w:t xml:space="preserve">Needed if you still have a uterus (womb) — see below. Given as tablets (e.g. </w:t>
            </w:r>
            <w:proofErr w:type="spellStart"/>
            <w:r>
              <w:rPr>
                <w:rFonts w:ascii="Calibri" w:eastAsia="Calibri" w:hAnsi="Calibri" w:cs="Calibri"/>
                <w:color w:val="222222"/>
                <w:sz w:val="18"/>
                <w:szCs w:val="18"/>
              </w:rPr>
              <w:t>micronised</w:t>
            </w:r>
            <w:proofErr w:type="spellEnd"/>
            <w:r>
              <w:rPr>
                <w:rFonts w:ascii="Calibri" w:eastAsia="Calibri" w:hAnsi="Calibri" w:cs="Calibri"/>
                <w:color w:val="222222"/>
                <w:sz w:val="18"/>
                <w:szCs w:val="18"/>
              </w:rPr>
              <w:t xml:space="preserve"> progesterone), or via a hormonal coil (Mirena).</w:t>
            </w:r>
          </w:p>
        </w:tc>
      </w:tr>
      <w:tr w:rsidR="003458F7" w14:paraId="21EA47B7" w14:textId="77777777">
        <w:tblPrEx>
          <w:tblCellMar>
            <w:top w:w="0" w:type="dxa"/>
            <w:bottom w:w="0" w:type="dxa"/>
          </w:tblCellMar>
        </w:tblPrEx>
        <w:tc>
          <w:tcPr>
            <w:tcW w:w="2600" w:type="dxa"/>
            <w:shd w:val="clear" w:color="auto" w:fill="E6F2F1"/>
            <w:tcMar>
              <w:top w:w="80" w:type="dxa"/>
              <w:left w:w="100" w:type="dxa"/>
              <w:bottom w:w="80" w:type="dxa"/>
              <w:right w:w="100" w:type="dxa"/>
            </w:tcMar>
            <w:vAlign w:val="center"/>
          </w:tcPr>
          <w:p w14:paraId="725A6C4A" w14:textId="77777777" w:rsidR="003458F7" w:rsidRDefault="002A795E">
            <w:r>
              <w:rPr>
                <w:rFonts w:ascii="Calibri" w:eastAsia="Calibri" w:hAnsi="Calibri" w:cs="Calibri"/>
                <w:b/>
                <w:bCs/>
                <w:color w:val="222222"/>
                <w:sz w:val="18"/>
                <w:szCs w:val="18"/>
              </w:rPr>
              <w:t>Combined HRT</w:t>
            </w:r>
          </w:p>
        </w:tc>
        <w:tc>
          <w:tcPr>
            <w:tcW w:w="7900" w:type="dxa"/>
            <w:tcMar>
              <w:top w:w="80" w:type="dxa"/>
              <w:left w:w="100" w:type="dxa"/>
              <w:bottom w:w="80" w:type="dxa"/>
              <w:right w:w="100" w:type="dxa"/>
            </w:tcMar>
            <w:vAlign w:val="center"/>
          </w:tcPr>
          <w:p w14:paraId="11F93EC8" w14:textId="77777777" w:rsidR="003458F7" w:rsidRDefault="002A795E">
            <w:r>
              <w:rPr>
                <w:rFonts w:ascii="Calibri" w:eastAsia="Calibri" w:hAnsi="Calibri" w:cs="Calibri"/>
                <w:color w:val="222222"/>
                <w:sz w:val="18"/>
                <w:szCs w:val="18"/>
              </w:rPr>
              <w:t>Oestrogen and progestogen together — "cyclical" (with a monthly bleed, usually used in perimenopause) or "continuous combined" (no bleed, usually once at least 12 months postmenopausal).</w:t>
            </w:r>
          </w:p>
        </w:tc>
      </w:tr>
      <w:tr w:rsidR="003458F7" w14:paraId="16CB00AA" w14:textId="77777777">
        <w:tblPrEx>
          <w:tblCellMar>
            <w:top w:w="0" w:type="dxa"/>
            <w:bottom w:w="0" w:type="dxa"/>
          </w:tblCellMar>
        </w:tblPrEx>
        <w:tc>
          <w:tcPr>
            <w:tcW w:w="2600" w:type="dxa"/>
            <w:shd w:val="clear" w:color="auto" w:fill="E6F2F1"/>
            <w:tcMar>
              <w:top w:w="80" w:type="dxa"/>
              <w:left w:w="100" w:type="dxa"/>
              <w:bottom w:w="80" w:type="dxa"/>
              <w:right w:w="100" w:type="dxa"/>
            </w:tcMar>
            <w:vAlign w:val="center"/>
          </w:tcPr>
          <w:p w14:paraId="33CDEEC7" w14:textId="77777777" w:rsidR="003458F7" w:rsidRDefault="002A795E">
            <w:r>
              <w:rPr>
                <w:rFonts w:ascii="Calibri" w:eastAsia="Calibri" w:hAnsi="Calibri" w:cs="Calibri"/>
                <w:b/>
                <w:bCs/>
                <w:color w:val="222222"/>
                <w:sz w:val="18"/>
                <w:szCs w:val="18"/>
              </w:rPr>
              <w:t>Oestrogen-only</w:t>
            </w:r>
          </w:p>
        </w:tc>
        <w:tc>
          <w:tcPr>
            <w:tcW w:w="7900" w:type="dxa"/>
            <w:tcMar>
              <w:top w:w="80" w:type="dxa"/>
              <w:left w:w="100" w:type="dxa"/>
              <w:bottom w:w="80" w:type="dxa"/>
              <w:right w:w="100" w:type="dxa"/>
            </w:tcMar>
            <w:vAlign w:val="center"/>
          </w:tcPr>
          <w:p w14:paraId="7E4E2414" w14:textId="77777777" w:rsidR="003458F7" w:rsidRDefault="002A795E">
            <w:r>
              <w:rPr>
                <w:rFonts w:ascii="Calibri" w:eastAsia="Calibri" w:hAnsi="Calibri" w:cs="Calibri"/>
                <w:color w:val="222222"/>
                <w:sz w:val="18"/>
                <w:szCs w:val="18"/>
              </w:rPr>
              <w:t>Suitable only if you have had a hysterectomy (no uterus).</w:t>
            </w:r>
          </w:p>
        </w:tc>
      </w:tr>
      <w:tr w:rsidR="003458F7" w14:paraId="5F6FBA0C" w14:textId="77777777">
        <w:tblPrEx>
          <w:tblCellMar>
            <w:top w:w="0" w:type="dxa"/>
            <w:bottom w:w="0" w:type="dxa"/>
          </w:tblCellMar>
        </w:tblPrEx>
        <w:tc>
          <w:tcPr>
            <w:tcW w:w="2600" w:type="dxa"/>
            <w:shd w:val="clear" w:color="auto" w:fill="E6F2F1"/>
            <w:tcMar>
              <w:top w:w="80" w:type="dxa"/>
              <w:left w:w="100" w:type="dxa"/>
              <w:bottom w:w="80" w:type="dxa"/>
              <w:right w:w="100" w:type="dxa"/>
            </w:tcMar>
            <w:vAlign w:val="center"/>
          </w:tcPr>
          <w:p w14:paraId="04E534BB" w14:textId="77777777" w:rsidR="003458F7" w:rsidRDefault="002A795E">
            <w:r>
              <w:rPr>
                <w:rFonts w:ascii="Calibri" w:eastAsia="Calibri" w:hAnsi="Calibri" w:cs="Calibri"/>
                <w:b/>
                <w:bCs/>
                <w:color w:val="222222"/>
                <w:sz w:val="18"/>
                <w:szCs w:val="18"/>
              </w:rPr>
              <w:t>Testosterone</w:t>
            </w:r>
          </w:p>
        </w:tc>
        <w:tc>
          <w:tcPr>
            <w:tcW w:w="7900" w:type="dxa"/>
            <w:tcMar>
              <w:top w:w="80" w:type="dxa"/>
              <w:left w:w="100" w:type="dxa"/>
              <w:bottom w:w="80" w:type="dxa"/>
              <w:right w:w="100" w:type="dxa"/>
            </w:tcMar>
            <w:vAlign w:val="center"/>
          </w:tcPr>
          <w:p w14:paraId="68249B89" w14:textId="77777777" w:rsidR="003458F7" w:rsidRDefault="002A795E">
            <w:r>
              <w:rPr>
                <w:rFonts w:ascii="Calibri" w:eastAsia="Calibri" w:hAnsi="Calibri" w:cs="Calibri"/>
                <w:color w:val="222222"/>
                <w:sz w:val="18"/>
                <w:szCs w:val="18"/>
              </w:rPr>
              <w:t>Sometimes considered for persistent low libido once oestrogen is optimised — specialist-guided.</w:t>
            </w:r>
          </w:p>
        </w:tc>
      </w:tr>
    </w:tbl>
    <w:p w14:paraId="5C41520C" w14:textId="77777777" w:rsidR="003458F7" w:rsidRDefault="003458F7">
      <w:pPr>
        <w:spacing w:before="160" w:after="60"/>
      </w:pPr>
    </w:p>
    <w:p w14:paraId="50F58195" w14:textId="77777777" w:rsidR="003458F7" w:rsidRDefault="002A795E">
      <w:pPr>
        <w:spacing w:before="140" w:after="60"/>
      </w:pPr>
      <w:r>
        <w:rPr>
          <w:rFonts w:ascii="Calibri" w:eastAsia="Calibri" w:hAnsi="Calibri" w:cs="Calibri"/>
          <w:b/>
          <w:bCs/>
          <w:color w:val="B5750C"/>
          <w:sz w:val="21"/>
          <w:szCs w:val="21"/>
        </w:rPr>
        <w:t>Why Progesterone Matters If You Have a Uterus</w:t>
      </w:r>
    </w:p>
    <w:p w14:paraId="75790831" w14:textId="77777777" w:rsidR="003458F7" w:rsidRDefault="002A795E">
      <w:pPr>
        <w:spacing w:after="80"/>
      </w:pPr>
      <w:r>
        <w:rPr>
          <w:rFonts w:ascii="Calibri" w:eastAsia="Calibri" w:hAnsi="Calibri" w:cs="Calibri"/>
          <w:color w:val="222222"/>
        </w:rPr>
        <w:t>If you take oestrogen and still have your uterus, you must also take a progestogen. Oestrogen on its own causes the womb lining to thicken, which significantly increases the risk of endometrial (womb) cancer over time. Progesterone protects the womb lining by keeping it thin. This does not apply if you have had a hysterectomy.</w:t>
      </w:r>
    </w:p>
    <w:p w14:paraId="3F3C428D" w14:textId="77777777" w:rsidR="003458F7" w:rsidRDefault="002A795E">
      <w:pPr>
        <w:spacing w:before="140" w:after="60"/>
      </w:pPr>
      <w:r>
        <w:rPr>
          <w:rFonts w:ascii="Calibri" w:eastAsia="Calibri" w:hAnsi="Calibri" w:cs="Calibri"/>
          <w:b/>
          <w:bCs/>
          <w:color w:val="B5750C"/>
          <w:sz w:val="21"/>
          <w:szCs w:val="21"/>
        </w:rPr>
        <w:t>Vaginal Oestrogen</w:t>
      </w:r>
    </w:p>
    <w:p w14:paraId="05D1F3B8" w14:textId="77777777" w:rsidR="003458F7" w:rsidRDefault="002A795E">
      <w:pPr>
        <w:spacing w:after="80"/>
      </w:pPr>
      <w:r>
        <w:rPr>
          <w:rFonts w:ascii="Calibri" w:eastAsia="Calibri" w:hAnsi="Calibri" w:cs="Calibri"/>
          <w:color w:val="222222"/>
        </w:rPr>
        <w:t>Low-dose vaginal oestrogen (cream, pessary, or vaginal ring) treats dryness, discomfort, and urinary symptoms directly at the vaginal tissue. It works locally with minimal absorption into the rest of the body, so it is safe for most women long-term — including many who cannot take systemic HRT — and does not usually require additional progestogen. It can be used alongside systemic HRT or on its own.</w:t>
      </w:r>
    </w:p>
    <w:p w14:paraId="627F7ACF"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Screening — Don't Miss These</w:t>
      </w:r>
    </w:p>
    <w:p w14:paraId="4F975467" w14:textId="77777777" w:rsidR="003458F7" w:rsidRDefault="002A795E">
      <w:pPr>
        <w:pStyle w:val="ListParagraph"/>
        <w:numPr>
          <w:ilvl w:val="0"/>
          <w:numId w:val="2"/>
        </w:numPr>
        <w:spacing w:after="40"/>
      </w:pPr>
      <w:proofErr w:type="spellStart"/>
      <w:r>
        <w:rPr>
          <w:rFonts w:ascii="Calibri" w:eastAsia="Calibri" w:hAnsi="Calibri" w:cs="Calibri"/>
          <w:b/>
          <w:bCs/>
          <w:color w:val="0A4C48"/>
        </w:rPr>
        <w:t>BreastCheck</w:t>
      </w:r>
      <w:proofErr w:type="spellEnd"/>
      <w:r>
        <w:rPr>
          <w:rFonts w:ascii="Calibri" w:eastAsia="Calibri" w:hAnsi="Calibri" w:cs="Calibri"/>
          <w:b/>
          <w:bCs/>
          <w:color w:val="0A4C48"/>
        </w:rPr>
        <w:t xml:space="preserve">: </w:t>
      </w:r>
      <w:r>
        <w:rPr>
          <w:rFonts w:ascii="Calibri" w:eastAsia="Calibri" w:hAnsi="Calibri" w:cs="Calibri"/>
          <w:color w:val="222222"/>
        </w:rPr>
        <w:t>Free mammogram every 2 years for women aged 50–69 (extending to 70). Register or check your details at breastcheck.ie.</w:t>
      </w:r>
    </w:p>
    <w:p w14:paraId="7B8DE142" w14:textId="77777777" w:rsidR="003458F7" w:rsidRDefault="002A795E">
      <w:pPr>
        <w:pStyle w:val="ListParagraph"/>
        <w:numPr>
          <w:ilvl w:val="0"/>
          <w:numId w:val="2"/>
        </w:numPr>
        <w:spacing w:after="40"/>
      </w:pPr>
      <w:proofErr w:type="spellStart"/>
      <w:r>
        <w:rPr>
          <w:rFonts w:ascii="Calibri" w:eastAsia="Calibri" w:hAnsi="Calibri" w:cs="Calibri"/>
          <w:b/>
          <w:bCs/>
          <w:color w:val="0A4C48"/>
        </w:rPr>
        <w:t>CervicalCheck</w:t>
      </w:r>
      <w:proofErr w:type="spellEnd"/>
      <w:r>
        <w:rPr>
          <w:rFonts w:ascii="Calibri" w:eastAsia="Calibri" w:hAnsi="Calibri" w:cs="Calibri"/>
          <w:b/>
          <w:bCs/>
          <w:color w:val="0A4C48"/>
        </w:rPr>
        <w:t xml:space="preserve">: </w:t>
      </w:r>
      <w:r>
        <w:rPr>
          <w:rFonts w:ascii="Calibri" w:eastAsia="Calibri" w:hAnsi="Calibri" w:cs="Calibri"/>
          <w:color w:val="222222"/>
        </w:rPr>
        <w:t>Free cervical screening for women aged 25–65. Frequency depends on age and HPV result — check cervicalcheck.ie.</w:t>
      </w:r>
    </w:p>
    <w:p w14:paraId="0D07AC1F" w14:textId="77777777" w:rsidR="003458F7" w:rsidRDefault="002A795E">
      <w:pPr>
        <w:pStyle w:val="ListParagraph"/>
        <w:numPr>
          <w:ilvl w:val="0"/>
          <w:numId w:val="2"/>
        </w:numPr>
        <w:spacing w:after="40"/>
      </w:pPr>
      <w:proofErr w:type="spellStart"/>
      <w:r>
        <w:rPr>
          <w:rFonts w:ascii="Calibri" w:eastAsia="Calibri" w:hAnsi="Calibri" w:cs="Calibri"/>
          <w:b/>
          <w:bCs/>
          <w:color w:val="0A4C48"/>
        </w:rPr>
        <w:t>BowelScreen</w:t>
      </w:r>
      <w:proofErr w:type="spellEnd"/>
      <w:r>
        <w:rPr>
          <w:rFonts w:ascii="Calibri" w:eastAsia="Calibri" w:hAnsi="Calibri" w:cs="Calibri"/>
          <w:b/>
          <w:bCs/>
          <w:color w:val="0A4C48"/>
        </w:rPr>
        <w:t xml:space="preserve">: </w:t>
      </w:r>
      <w:r>
        <w:rPr>
          <w:rFonts w:ascii="Calibri" w:eastAsia="Calibri" w:hAnsi="Calibri" w:cs="Calibri"/>
          <w:color w:val="222222"/>
        </w:rPr>
        <w:t>Free home test kit every 2 years for men and women aged 59–69 (extending to 55–74). See bowelscreen.ie.</w:t>
      </w:r>
    </w:p>
    <w:p w14:paraId="7A62E093" w14:textId="77777777" w:rsidR="003458F7" w:rsidRDefault="002A795E">
      <w:pPr>
        <w:spacing w:before="140" w:after="60"/>
      </w:pPr>
      <w:r>
        <w:rPr>
          <w:rFonts w:ascii="Calibri" w:eastAsia="Calibri" w:hAnsi="Calibri" w:cs="Calibri"/>
          <w:b/>
          <w:bCs/>
          <w:color w:val="B5750C"/>
          <w:sz w:val="21"/>
          <w:szCs w:val="21"/>
        </w:rPr>
        <w:t>How to Check Your Breasts</w:t>
      </w:r>
    </w:p>
    <w:p w14:paraId="3E4E53E6" w14:textId="77777777" w:rsidR="003458F7" w:rsidRDefault="002A795E">
      <w:pPr>
        <w:pStyle w:val="ListParagraph"/>
        <w:numPr>
          <w:ilvl w:val="0"/>
          <w:numId w:val="2"/>
        </w:numPr>
        <w:spacing w:after="40"/>
      </w:pPr>
      <w:r>
        <w:rPr>
          <w:rFonts w:ascii="Calibri" w:eastAsia="Calibri" w:hAnsi="Calibri" w:cs="Calibri"/>
          <w:color w:val="222222"/>
        </w:rPr>
        <w:t>Get to know how your breasts normally look and feel — there is no single "right" way, but regular self-awareness helps you notice change</w:t>
      </w:r>
    </w:p>
    <w:p w14:paraId="5DF578FE" w14:textId="77777777" w:rsidR="003458F7" w:rsidRDefault="002A795E">
      <w:pPr>
        <w:pStyle w:val="ListParagraph"/>
        <w:numPr>
          <w:ilvl w:val="0"/>
          <w:numId w:val="2"/>
        </w:numPr>
        <w:spacing w:after="40"/>
      </w:pPr>
      <w:r>
        <w:rPr>
          <w:rFonts w:ascii="Calibri" w:eastAsia="Calibri" w:hAnsi="Calibri" w:cs="Calibri"/>
          <w:color w:val="222222"/>
        </w:rPr>
        <w:t>Look and feel, including up to the collarbone and armpit, in the shower, lying down, and in front of a mirror</w:t>
      </w:r>
    </w:p>
    <w:p w14:paraId="2D2F8B55" w14:textId="77777777" w:rsidR="003458F7" w:rsidRDefault="002A795E">
      <w:pPr>
        <w:pStyle w:val="ListParagraph"/>
        <w:numPr>
          <w:ilvl w:val="0"/>
          <w:numId w:val="2"/>
        </w:numPr>
        <w:spacing w:after="40"/>
      </w:pPr>
      <w:r>
        <w:rPr>
          <w:rFonts w:ascii="Calibri" w:eastAsia="Calibri" w:hAnsi="Calibri" w:cs="Calibri"/>
          <w:color w:val="222222"/>
        </w:rPr>
        <w:lastRenderedPageBreak/>
        <w:t>Check for: a new lump or thickening, change in size or shape, skin dimpling or puckering, nipple changes or discharge, or persistent pain in one area</w:t>
      </w:r>
    </w:p>
    <w:p w14:paraId="1400F44E" w14:textId="77777777" w:rsidR="003458F7" w:rsidRDefault="002A795E">
      <w:pPr>
        <w:pStyle w:val="ListParagraph"/>
        <w:numPr>
          <w:ilvl w:val="0"/>
          <w:numId w:val="2"/>
        </w:numPr>
        <w:spacing w:after="40"/>
      </w:pPr>
      <w:r>
        <w:rPr>
          <w:rFonts w:ascii="Calibri" w:eastAsia="Calibri" w:hAnsi="Calibri" w:cs="Calibri"/>
          <w:color w:val="222222"/>
        </w:rPr>
        <w:t>See your GP promptly if you notice any change — most changes are not cancer, but all should be checked</w:t>
      </w:r>
    </w:p>
    <w:p w14:paraId="03A8FF33"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Bone Health</w:t>
      </w:r>
    </w:p>
    <w:p w14:paraId="0552F71C" w14:textId="77777777" w:rsidR="003458F7" w:rsidRDefault="002A795E">
      <w:pPr>
        <w:spacing w:after="80"/>
      </w:pPr>
      <w:r>
        <w:rPr>
          <w:rFonts w:ascii="Calibri" w:eastAsia="Calibri" w:hAnsi="Calibri" w:cs="Calibri"/>
          <w:color w:val="222222"/>
        </w:rPr>
        <w:t>Bone density falls more quickly in the years after menopause due to lower oestrogen, increasing osteoporosis and fracture risk.</w:t>
      </w:r>
    </w:p>
    <w:p w14:paraId="5ADEADC2" w14:textId="77777777" w:rsidR="003458F7" w:rsidRDefault="002A795E">
      <w:pPr>
        <w:pStyle w:val="ListParagraph"/>
        <w:numPr>
          <w:ilvl w:val="0"/>
          <w:numId w:val="2"/>
        </w:numPr>
        <w:spacing w:after="40"/>
      </w:pPr>
      <w:r>
        <w:rPr>
          <w:rFonts w:ascii="Calibri" w:eastAsia="Calibri" w:hAnsi="Calibri" w:cs="Calibri"/>
          <w:color w:val="222222"/>
        </w:rPr>
        <w:t>Calcium: aim for adequate dietary intake (dairy, fortified plant milks, leafy greens, tinned fish with bones)</w:t>
      </w:r>
    </w:p>
    <w:p w14:paraId="2BBCDB59" w14:textId="77777777" w:rsidR="003458F7" w:rsidRDefault="002A795E">
      <w:pPr>
        <w:pStyle w:val="ListParagraph"/>
        <w:numPr>
          <w:ilvl w:val="0"/>
          <w:numId w:val="2"/>
        </w:numPr>
        <w:spacing w:after="40"/>
      </w:pPr>
      <w:r>
        <w:rPr>
          <w:rFonts w:ascii="Calibri" w:eastAsia="Calibri" w:hAnsi="Calibri" w:cs="Calibri"/>
          <w:color w:val="222222"/>
        </w:rPr>
        <w:t>Vitamin D: supplement recommended, particularly in the autumn and winter months in Ireland</w:t>
      </w:r>
    </w:p>
    <w:p w14:paraId="0737A014" w14:textId="77777777" w:rsidR="003458F7" w:rsidRDefault="002A795E">
      <w:pPr>
        <w:pStyle w:val="ListParagraph"/>
        <w:numPr>
          <w:ilvl w:val="0"/>
          <w:numId w:val="2"/>
        </w:numPr>
        <w:spacing w:after="40"/>
      </w:pPr>
      <w:r>
        <w:rPr>
          <w:rFonts w:ascii="Calibri" w:eastAsia="Calibri" w:hAnsi="Calibri" w:cs="Calibri"/>
          <w:color w:val="222222"/>
        </w:rPr>
        <w:t>Weight-bearing and resistance exercise: walking, jogging, dancing, and strength training all help maintain bone density</w:t>
      </w:r>
    </w:p>
    <w:p w14:paraId="7C04E253" w14:textId="77777777" w:rsidR="003458F7" w:rsidRDefault="002A795E">
      <w:pPr>
        <w:pStyle w:val="ListParagraph"/>
        <w:numPr>
          <w:ilvl w:val="0"/>
          <w:numId w:val="2"/>
        </w:numPr>
        <w:spacing w:after="40"/>
      </w:pPr>
      <w:r>
        <w:rPr>
          <w:rFonts w:ascii="Calibri" w:eastAsia="Calibri" w:hAnsi="Calibri" w:cs="Calibri"/>
          <w:color w:val="222222"/>
        </w:rPr>
        <w:t>Avoid smoking and limit alcohol, both of which weaken bone</w:t>
      </w:r>
    </w:p>
    <w:p w14:paraId="626B79CB" w14:textId="77777777" w:rsidR="003458F7" w:rsidRDefault="002A795E">
      <w:pPr>
        <w:pStyle w:val="ListParagraph"/>
        <w:numPr>
          <w:ilvl w:val="0"/>
          <w:numId w:val="2"/>
        </w:numPr>
        <w:spacing w:after="40"/>
      </w:pPr>
      <w:r>
        <w:rPr>
          <w:rFonts w:ascii="Calibri" w:eastAsia="Calibri" w:hAnsi="Calibri" w:cs="Calibri"/>
          <w:color w:val="222222"/>
        </w:rPr>
        <w:t>Ask your GP about a bone density (DEXA) scan if you have risk factors — early menopause, family history of osteoporosis, low body weight, or long-term steroid use</w:t>
      </w:r>
    </w:p>
    <w:p w14:paraId="502C5376" w14:textId="77777777" w:rsidR="003458F7" w:rsidRDefault="002A795E">
      <w:pPr>
        <w:pStyle w:val="Heading1"/>
        <w:pBdr>
          <w:bottom w:val="single" w:sz="8" w:space="4" w:color="0F6B66"/>
        </w:pBdr>
        <w:spacing w:before="260" w:after="100"/>
      </w:pPr>
      <w:r>
        <w:rPr>
          <w:rFonts w:ascii="Calibri" w:eastAsia="Calibri" w:hAnsi="Calibri" w:cs="Calibri"/>
          <w:b/>
          <w:bCs/>
          <w:color w:val="0A4C48"/>
          <w:sz w:val="25"/>
          <w:szCs w:val="25"/>
        </w:rPr>
        <w:t>Keeping a Healthy Weight, Exercise &amp; Diet</w:t>
      </w:r>
    </w:p>
    <w:p w14:paraId="4F8AB33A" w14:textId="77777777" w:rsidR="003458F7" w:rsidRDefault="002A795E">
      <w:pPr>
        <w:pStyle w:val="ListParagraph"/>
        <w:numPr>
          <w:ilvl w:val="0"/>
          <w:numId w:val="2"/>
        </w:numPr>
        <w:spacing w:after="40"/>
      </w:pPr>
      <w:r>
        <w:rPr>
          <w:rFonts w:ascii="Calibri" w:eastAsia="Calibri" w:hAnsi="Calibri" w:cs="Calibri"/>
          <w:color w:val="222222"/>
        </w:rPr>
        <w:t>Hormonal changes can shift weight distribution toward the abdomen and slow metabolism — this is common, not a personal failing</w:t>
      </w:r>
    </w:p>
    <w:p w14:paraId="170A9E5A" w14:textId="77777777" w:rsidR="003458F7" w:rsidRDefault="002A795E">
      <w:pPr>
        <w:pStyle w:val="ListParagraph"/>
        <w:numPr>
          <w:ilvl w:val="0"/>
          <w:numId w:val="2"/>
        </w:numPr>
        <w:spacing w:after="40"/>
      </w:pPr>
      <w:r>
        <w:rPr>
          <w:rFonts w:ascii="Calibri" w:eastAsia="Calibri" w:hAnsi="Calibri" w:cs="Calibri"/>
          <w:color w:val="222222"/>
        </w:rPr>
        <w:t>Aim for at least 150 minutes of moderate activity per week, including 2 sessions of strength/resistance training to protect muscle and bone</w:t>
      </w:r>
    </w:p>
    <w:p w14:paraId="0D6993DA" w14:textId="77777777" w:rsidR="003458F7" w:rsidRDefault="002A795E">
      <w:pPr>
        <w:pStyle w:val="ListParagraph"/>
        <w:numPr>
          <w:ilvl w:val="0"/>
          <w:numId w:val="2"/>
        </w:numPr>
        <w:spacing w:after="40"/>
      </w:pPr>
      <w:r>
        <w:rPr>
          <w:rFonts w:ascii="Calibri" w:eastAsia="Calibri" w:hAnsi="Calibri" w:cs="Calibri"/>
          <w:color w:val="222222"/>
        </w:rPr>
        <w:t>Eat a balanced, largely plant-based diet with adequate protein, fibre, calcium, and healthy fats; limit ultra-processed foods and alcohol</w:t>
      </w:r>
    </w:p>
    <w:p w14:paraId="2659CBAB" w14:textId="77777777" w:rsidR="003458F7" w:rsidRDefault="002A795E">
      <w:pPr>
        <w:pStyle w:val="ListParagraph"/>
        <w:numPr>
          <w:ilvl w:val="0"/>
          <w:numId w:val="2"/>
        </w:numPr>
        <w:spacing w:after="40"/>
      </w:pPr>
      <w:r>
        <w:rPr>
          <w:rFonts w:ascii="Calibri" w:eastAsia="Calibri" w:hAnsi="Calibri" w:cs="Calibri"/>
          <w:color w:val="222222"/>
        </w:rPr>
        <w:t>Prioritise sleep and stress management — both affect weight, mood, and symptom severity</w:t>
      </w:r>
    </w:p>
    <w:p w14:paraId="5DE71ECF" w14:textId="77777777" w:rsidR="003458F7" w:rsidRDefault="002A795E">
      <w:pPr>
        <w:pStyle w:val="ListParagraph"/>
        <w:numPr>
          <w:ilvl w:val="0"/>
          <w:numId w:val="2"/>
        </w:numPr>
        <w:spacing w:after="40"/>
      </w:pPr>
      <w:r>
        <w:rPr>
          <w:rFonts w:ascii="Calibri" w:eastAsia="Calibri" w:hAnsi="Calibri" w:cs="Calibri"/>
          <w:color w:val="222222"/>
        </w:rPr>
        <w:t>Small, sustainable changes work better long-term than restrictive diets</w:t>
      </w:r>
    </w:p>
    <w:p w14:paraId="0695D42D" w14:textId="77777777" w:rsidR="003458F7" w:rsidRDefault="002A795E">
      <w:pPr>
        <w:pBdr>
          <w:top w:val="single" w:sz="6" w:space="6" w:color="B5750C"/>
        </w:pBdr>
        <w:spacing w:before="220"/>
      </w:pPr>
      <w:r>
        <w:rPr>
          <w:rFonts w:ascii="Calibri" w:eastAsia="Calibri" w:hAnsi="Calibri" w:cs="Calibri"/>
          <w:b/>
          <w:bCs/>
          <w:i/>
          <w:iCs/>
          <w:color w:val="0A4C48"/>
          <w:sz w:val="19"/>
          <w:szCs w:val="19"/>
        </w:rPr>
        <w:t>Every woman's menopause experience is different. Talk to your GP or practice nurse about a plan tailored to you.</w:t>
      </w:r>
    </w:p>
    <w:sectPr w:rsidR="003458F7">
      <w:headerReference w:type="default" r:id="rId7"/>
      <w:footerReference w:type="default" r:id="rId8"/>
      <w:pgSz w:w="11906" w:h="16838"/>
      <w:pgMar w:top="700" w:right="700" w:bottom="700" w:left="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EE730" w14:textId="77777777" w:rsidR="002A795E" w:rsidRDefault="002A795E">
      <w:r>
        <w:separator/>
      </w:r>
    </w:p>
  </w:endnote>
  <w:endnote w:type="continuationSeparator" w:id="0">
    <w:p w14:paraId="201CFE00" w14:textId="77777777" w:rsidR="002A795E" w:rsidRDefault="002A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EADF" w14:textId="77777777" w:rsidR="003458F7" w:rsidRDefault="002A795E">
    <w:pPr>
      <w:jc w:val="center"/>
    </w:pPr>
    <w:r>
      <w:rPr>
        <w:rFonts w:ascii="Calibri" w:eastAsia="Calibri" w:hAnsi="Calibri" w:cs="Calibri"/>
        <w:i/>
        <w:iCs/>
        <w:color w:val="5A5A5A"/>
        <w:sz w:val="14"/>
        <w:szCs w:val="14"/>
      </w:rPr>
      <w:t>This leaflet is for general information only and does not replace individual medical advice from your GP or practice nurse.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F8315" w14:textId="77777777" w:rsidR="002A795E" w:rsidRDefault="002A795E">
      <w:r>
        <w:separator/>
      </w:r>
    </w:p>
  </w:footnote>
  <w:footnote w:type="continuationSeparator" w:id="0">
    <w:p w14:paraId="1FCAD112" w14:textId="77777777" w:rsidR="002A795E" w:rsidRDefault="002A7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81FB" w14:textId="77777777" w:rsidR="003458F7" w:rsidRDefault="002A795E">
    <w:pPr>
      <w:jc w:val="right"/>
    </w:pPr>
    <w:r>
      <w:rPr>
        <w:rFonts w:ascii="Calibri" w:eastAsia="Calibri" w:hAnsi="Calibri" w:cs="Calibri"/>
        <w:i/>
        <w:iCs/>
        <w:color w:val="5A5A5A"/>
        <w:sz w:val="15"/>
        <w:szCs w:val="15"/>
      </w:rPr>
      <w:t>Menopause: A Guide for Patients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C78BE"/>
    <w:multiLevelType w:val="hybridMultilevel"/>
    <w:tmpl w:val="0226AB74"/>
    <w:lvl w:ilvl="0" w:tplc="1A58E8BA">
      <w:start w:val="1"/>
      <w:numFmt w:val="bullet"/>
      <w:lvlText w:val="●"/>
      <w:lvlJc w:val="left"/>
      <w:pPr>
        <w:ind w:left="720" w:hanging="360"/>
      </w:pPr>
    </w:lvl>
    <w:lvl w:ilvl="1" w:tplc="DCCE784C">
      <w:start w:val="1"/>
      <w:numFmt w:val="bullet"/>
      <w:lvlText w:val="○"/>
      <w:lvlJc w:val="left"/>
      <w:pPr>
        <w:ind w:left="1440" w:hanging="360"/>
      </w:pPr>
    </w:lvl>
    <w:lvl w:ilvl="2" w:tplc="5C62A9AC">
      <w:start w:val="1"/>
      <w:numFmt w:val="bullet"/>
      <w:lvlText w:val="■"/>
      <w:lvlJc w:val="left"/>
      <w:pPr>
        <w:ind w:left="2160" w:hanging="360"/>
      </w:pPr>
    </w:lvl>
    <w:lvl w:ilvl="3" w:tplc="AE1AC92A">
      <w:start w:val="1"/>
      <w:numFmt w:val="bullet"/>
      <w:lvlText w:val="●"/>
      <w:lvlJc w:val="left"/>
      <w:pPr>
        <w:ind w:left="2880" w:hanging="360"/>
      </w:pPr>
    </w:lvl>
    <w:lvl w:ilvl="4" w:tplc="D4E61212">
      <w:start w:val="1"/>
      <w:numFmt w:val="bullet"/>
      <w:lvlText w:val="○"/>
      <w:lvlJc w:val="left"/>
      <w:pPr>
        <w:ind w:left="3600" w:hanging="360"/>
      </w:pPr>
    </w:lvl>
    <w:lvl w:ilvl="5" w:tplc="86D084B6">
      <w:start w:val="1"/>
      <w:numFmt w:val="bullet"/>
      <w:lvlText w:val="■"/>
      <w:lvlJc w:val="left"/>
      <w:pPr>
        <w:ind w:left="4320" w:hanging="360"/>
      </w:pPr>
    </w:lvl>
    <w:lvl w:ilvl="6" w:tplc="E034EF6E">
      <w:start w:val="1"/>
      <w:numFmt w:val="bullet"/>
      <w:lvlText w:val="●"/>
      <w:lvlJc w:val="left"/>
      <w:pPr>
        <w:ind w:left="5040" w:hanging="360"/>
      </w:pPr>
    </w:lvl>
    <w:lvl w:ilvl="7" w:tplc="0AAE1C10">
      <w:start w:val="1"/>
      <w:numFmt w:val="bullet"/>
      <w:lvlText w:val="●"/>
      <w:lvlJc w:val="left"/>
      <w:pPr>
        <w:ind w:left="5760" w:hanging="360"/>
      </w:pPr>
    </w:lvl>
    <w:lvl w:ilvl="8" w:tplc="E058542E">
      <w:start w:val="1"/>
      <w:numFmt w:val="bullet"/>
      <w:lvlText w:val="●"/>
      <w:lvlJc w:val="left"/>
      <w:pPr>
        <w:ind w:left="6480" w:hanging="360"/>
      </w:pPr>
    </w:lvl>
  </w:abstractNum>
  <w:abstractNum w:abstractNumId="1" w15:restartNumberingAfterBreak="0">
    <w:nsid w:val="616B165D"/>
    <w:multiLevelType w:val="hybridMultilevel"/>
    <w:tmpl w:val="3066FEDA"/>
    <w:lvl w:ilvl="0" w:tplc="A76A3CE8">
      <w:start w:val="1"/>
      <w:numFmt w:val="bullet"/>
      <w:lvlText w:val="•"/>
      <w:lvlJc w:val="left"/>
      <w:pPr>
        <w:ind w:left="280" w:hanging="200"/>
      </w:pPr>
    </w:lvl>
    <w:lvl w:ilvl="1" w:tplc="02C80B58">
      <w:numFmt w:val="decimal"/>
      <w:lvlText w:val=""/>
      <w:lvlJc w:val="left"/>
    </w:lvl>
    <w:lvl w:ilvl="2" w:tplc="A1ACC7B2">
      <w:numFmt w:val="decimal"/>
      <w:lvlText w:val=""/>
      <w:lvlJc w:val="left"/>
    </w:lvl>
    <w:lvl w:ilvl="3" w:tplc="B27A62A8">
      <w:numFmt w:val="decimal"/>
      <w:lvlText w:val=""/>
      <w:lvlJc w:val="left"/>
    </w:lvl>
    <w:lvl w:ilvl="4" w:tplc="58D664BA">
      <w:numFmt w:val="decimal"/>
      <w:lvlText w:val=""/>
      <w:lvlJc w:val="left"/>
    </w:lvl>
    <w:lvl w:ilvl="5" w:tplc="C3D0A4EA">
      <w:numFmt w:val="decimal"/>
      <w:lvlText w:val=""/>
      <w:lvlJc w:val="left"/>
    </w:lvl>
    <w:lvl w:ilvl="6" w:tplc="4F9EC496">
      <w:numFmt w:val="decimal"/>
      <w:lvlText w:val=""/>
      <w:lvlJc w:val="left"/>
    </w:lvl>
    <w:lvl w:ilvl="7" w:tplc="52842776">
      <w:numFmt w:val="decimal"/>
      <w:lvlText w:val=""/>
      <w:lvlJc w:val="left"/>
    </w:lvl>
    <w:lvl w:ilvl="8" w:tplc="63649366">
      <w:numFmt w:val="decimal"/>
      <w:lvlText w:val=""/>
      <w:lvlJc w:val="left"/>
    </w:lvl>
  </w:abstractNum>
  <w:num w:numId="1" w16cid:durableId="448472603">
    <w:abstractNumId w:val="0"/>
    <w:lvlOverride w:ilvl="0">
      <w:startOverride w:val="1"/>
    </w:lvlOverride>
  </w:num>
  <w:num w:numId="2" w16cid:durableId="172552485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8F7"/>
    <w:rsid w:val="000F3B54"/>
    <w:rsid w:val="002A795E"/>
    <w:rsid w:val="003458F7"/>
    <w:rsid w:val="0040690D"/>
    <w:rsid w:val="00CD6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0EDC"/>
  <w15:docId w15:val="{E57BFAFB-AA24-45A8-8979-610B22A3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North Family Practice</cp:lastModifiedBy>
  <cp:revision>3</cp:revision>
  <dcterms:created xsi:type="dcterms:W3CDTF">2026-07-13T08:37:00Z</dcterms:created>
  <dcterms:modified xsi:type="dcterms:W3CDTF">2026-07-13T08:37:00Z</dcterms:modified>
</cp:coreProperties>
</file>